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0F" w:rsidRDefault="009B2C97" w:rsidP="00BB300F">
      <w:pPr>
        <w:pStyle w:val="Balk8"/>
        <w:jc w:val="center"/>
        <w:rPr>
          <w:bCs/>
          <w:sz w:val="20"/>
        </w:rPr>
      </w:pPr>
      <w:r w:rsidRPr="00882FE4">
        <w:rPr>
          <w:bCs/>
          <w:sz w:val="20"/>
        </w:rPr>
        <w:t>LİMİTED ŞİRKETİN SERMAYE ARTTIRIMINDA AYNİ SERMAYE OLARAK KONULMASI</w:t>
      </w:r>
    </w:p>
    <w:p w:rsidR="009B2C97" w:rsidRPr="00882FE4" w:rsidRDefault="009B2C97" w:rsidP="00BB300F">
      <w:pPr>
        <w:pStyle w:val="Balk8"/>
        <w:jc w:val="center"/>
        <w:rPr>
          <w:bCs/>
          <w:sz w:val="20"/>
        </w:rPr>
      </w:pPr>
      <w:r w:rsidRPr="00882FE4">
        <w:rPr>
          <w:bCs/>
          <w:sz w:val="20"/>
        </w:rPr>
        <w:t>KARAR ÖRNEĞİ</w:t>
      </w:r>
    </w:p>
    <w:p w:rsidR="009B2C97" w:rsidRPr="00882FE4" w:rsidRDefault="009B2C97" w:rsidP="009B2C97">
      <w:pPr>
        <w:rPr>
          <w:sz w:val="32"/>
        </w:rPr>
      </w:pPr>
    </w:p>
    <w:p w:rsidR="009B2C97" w:rsidRPr="00882FE4" w:rsidRDefault="009B2C97" w:rsidP="009B2C97">
      <w:pPr>
        <w:rPr>
          <w:rFonts w:ascii="Arial" w:eastAsia="Calibri" w:hAnsi="Arial"/>
          <w:sz w:val="20"/>
        </w:rPr>
      </w:pPr>
      <w:r w:rsidRPr="00882FE4">
        <w:rPr>
          <w:rFonts w:ascii="Arial" w:eastAsia="Calibri" w:hAnsi="Arial"/>
          <w:sz w:val="20"/>
        </w:rPr>
        <w:t>Karar Tarihi</w:t>
      </w:r>
      <w:r w:rsidRPr="00882FE4">
        <w:rPr>
          <w:rFonts w:ascii="Arial" w:eastAsia="Calibri" w:hAnsi="Arial"/>
          <w:sz w:val="20"/>
        </w:rPr>
        <w:tab/>
        <w:t xml:space="preserve">: </w:t>
      </w:r>
    </w:p>
    <w:p w:rsidR="009B2C97" w:rsidRPr="00882FE4" w:rsidRDefault="009B2C97" w:rsidP="009B2C97">
      <w:pPr>
        <w:rPr>
          <w:rFonts w:ascii="Arial" w:eastAsia="Calibri" w:hAnsi="Arial"/>
          <w:sz w:val="20"/>
        </w:rPr>
      </w:pPr>
      <w:r w:rsidRPr="00882FE4">
        <w:rPr>
          <w:rFonts w:ascii="Arial" w:eastAsia="Calibri" w:hAnsi="Arial"/>
          <w:sz w:val="20"/>
        </w:rPr>
        <w:t>Karar sayısı</w:t>
      </w:r>
      <w:r w:rsidRPr="00882FE4">
        <w:rPr>
          <w:rFonts w:ascii="Arial" w:eastAsia="Calibri" w:hAnsi="Arial"/>
          <w:sz w:val="20"/>
        </w:rPr>
        <w:tab/>
        <w:t>:</w:t>
      </w:r>
    </w:p>
    <w:p w:rsidR="009B2C97" w:rsidRPr="00882FE4" w:rsidRDefault="009B2C97" w:rsidP="009B2C97">
      <w:pPr>
        <w:rPr>
          <w:rFonts w:ascii="Arial" w:eastAsia="Calibri" w:hAnsi="Arial"/>
          <w:sz w:val="20"/>
        </w:rPr>
      </w:pPr>
      <w:r w:rsidRPr="00882FE4">
        <w:rPr>
          <w:rFonts w:ascii="Arial" w:eastAsia="Calibri" w:hAnsi="Arial"/>
          <w:sz w:val="20"/>
        </w:rPr>
        <w:t xml:space="preserve">Konu           </w:t>
      </w:r>
      <w:r w:rsidRPr="00882FE4">
        <w:rPr>
          <w:rFonts w:ascii="Arial" w:eastAsia="Calibri" w:hAnsi="Arial"/>
          <w:sz w:val="20"/>
        </w:rPr>
        <w:tab/>
        <w:t xml:space="preserve">: </w:t>
      </w:r>
    </w:p>
    <w:p w:rsidR="009B2C97" w:rsidRPr="00882FE4" w:rsidRDefault="009B2C97" w:rsidP="009B2C97">
      <w:pPr>
        <w:rPr>
          <w:rFonts w:ascii="Arial" w:eastAsia="Calibri" w:hAnsi="Arial"/>
          <w:sz w:val="20"/>
        </w:rPr>
      </w:pPr>
    </w:p>
    <w:p w:rsidR="009B2C97" w:rsidRPr="00882FE4" w:rsidRDefault="009B2C97" w:rsidP="009B2C97">
      <w:pPr>
        <w:rPr>
          <w:rFonts w:ascii="Arial" w:hAnsi="Arial" w:cs="Arial"/>
          <w:sz w:val="20"/>
        </w:rPr>
      </w:pPr>
    </w:p>
    <w:p w:rsidR="009B2C97" w:rsidRPr="00882FE4" w:rsidRDefault="009B2C97" w:rsidP="009B2C97">
      <w:pPr>
        <w:rPr>
          <w:rFonts w:ascii="Arial" w:hAnsi="Arial" w:cs="Arial"/>
          <w:sz w:val="20"/>
        </w:rPr>
      </w:pPr>
    </w:p>
    <w:p w:rsidR="009B2C97" w:rsidRPr="00882FE4" w:rsidRDefault="009B2C97" w:rsidP="00BB300F">
      <w:pPr>
        <w:jc w:val="both"/>
        <w:rPr>
          <w:rFonts w:ascii="Arial" w:hAnsi="Arial" w:cs="Arial"/>
          <w:sz w:val="20"/>
          <w:szCs w:val="16"/>
        </w:rPr>
      </w:pPr>
      <w:r w:rsidRPr="00882FE4">
        <w:rPr>
          <w:rFonts w:ascii="Arial" w:hAnsi="Arial" w:cs="Arial"/>
          <w:sz w:val="20"/>
          <w:szCs w:val="16"/>
        </w:rPr>
        <w:t>Genel</w:t>
      </w:r>
      <w:r w:rsidRPr="00882FE4">
        <w:rPr>
          <w:rFonts w:ascii="Arial" w:eastAsia="Calibri" w:hAnsi="Arial" w:cs="Arial"/>
          <w:sz w:val="20"/>
          <w:szCs w:val="16"/>
        </w:rPr>
        <w:t xml:space="preserve"> Kurulumuz şirket merkezinde  toplanarak aşağıda belirtilen hususları oy birliği ile karar altına almışlardır.</w:t>
      </w:r>
      <w:r w:rsidRPr="00882FE4">
        <w:rPr>
          <w:rFonts w:ascii="Arial" w:hAnsi="Arial" w:cs="Arial"/>
          <w:sz w:val="20"/>
          <w:szCs w:val="16"/>
        </w:rPr>
        <w:t xml:space="preserve"> </w:t>
      </w:r>
      <w:r w:rsidRPr="00882FE4">
        <w:rPr>
          <w:rFonts w:ascii="Arial" w:eastAsia="Calibri" w:hAnsi="Arial" w:cs="Arial"/>
          <w:sz w:val="20"/>
          <w:szCs w:val="16"/>
        </w:rPr>
        <w:t>Şirket sermayesinin …………………TL den ……………………TL ye çıkarılmasına ve şirket ana sözleşmesinin sermaye maddesinin aşağıdaki şekilde tadil edilmesine oy birliği ile karar verilmiştir.</w:t>
      </w:r>
    </w:p>
    <w:p w:rsidR="00882FE4" w:rsidRPr="00882FE4" w:rsidRDefault="00882FE4" w:rsidP="00BB300F">
      <w:pPr>
        <w:jc w:val="both"/>
        <w:rPr>
          <w:rFonts w:ascii="Arial" w:eastAsia="Calibri" w:hAnsi="Arial" w:cs="Arial"/>
          <w:bCs/>
          <w:sz w:val="20"/>
          <w:szCs w:val="16"/>
        </w:rPr>
      </w:pPr>
    </w:p>
    <w:p w:rsidR="009B2C97" w:rsidRPr="00882FE4" w:rsidRDefault="009B2C97" w:rsidP="00BB300F">
      <w:pPr>
        <w:jc w:val="both"/>
        <w:rPr>
          <w:rFonts w:ascii="Arial" w:eastAsia="Calibri" w:hAnsi="Arial" w:cs="Arial"/>
          <w:bCs/>
          <w:sz w:val="20"/>
          <w:szCs w:val="16"/>
        </w:rPr>
      </w:pPr>
      <w:r w:rsidRPr="00882FE4">
        <w:rPr>
          <w:rFonts w:ascii="Arial" w:eastAsia="Calibri" w:hAnsi="Arial" w:cs="Arial"/>
          <w:bCs/>
          <w:sz w:val="20"/>
          <w:szCs w:val="16"/>
        </w:rPr>
        <w:t>YENİ ŞEKLİ:</w:t>
      </w:r>
    </w:p>
    <w:p w:rsidR="00882FE4" w:rsidRPr="00882FE4" w:rsidRDefault="00882FE4" w:rsidP="00BB300F">
      <w:pPr>
        <w:pStyle w:val="NormalWeb"/>
        <w:jc w:val="both"/>
        <w:rPr>
          <w:rFonts w:ascii="Arial" w:hAnsi="Arial" w:cs="Arial"/>
          <w:sz w:val="20"/>
          <w:szCs w:val="16"/>
        </w:rPr>
      </w:pPr>
      <w:r w:rsidRPr="00882FE4">
        <w:rPr>
          <w:rFonts w:ascii="Arial" w:hAnsi="Arial" w:cs="Arial"/>
          <w:sz w:val="20"/>
          <w:szCs w:val="16"/>
        </w:rPr>
        <w:t xml:space="preserve">MADDE 6- SERMAYE: </w:t>
      </w:r>
    </w:p>
    <w:p w:rsidR="009B2C97" w:rsidRPr="00882FE4" w:rsidRDefault="009B2C97" w:rsidP="00BB300F">
      <w:pPr>
        <w:pStyle w:val="NormalWeb"/>
        <w:jc w:val="both"/>
        <w:rPr>
          <w:rFonts w:ascii="Arial" w:hAnsi="Arial" w:cs="Arial"/>
          <w:sz w:val="20"/>
          <w:szCs w:val="16"/>
        </w:rPr>
      </w:pPr>
      <w:r w:rsidRPr="00882FE4">
        <w:rPr>
          <w:rFonts w:ascii="Arial" w:hAnsi="Arial" w:cs="Arial"/>
          <w:sz w:val="20"/>
          <w:szCs w:val="16"/>
        </w:rPr>
        <w:t>Şirketin sermayesi her biri………….TL kıymetinde ........................ paya ayrılmış ..................Türk Lirası</w:t>
      </w:r>
    </w:p>
    <w:p w:rsidR="009B2C97" w:rsidRPr="00882FE4" w:rsidRDefault="009B2C97" w:rsidP="00BB300F">
      <w:pPr>
        <w:pStyle w:val="NormalWeb"/>
        <w:jc w:val="both"/>
        <w:rPr>
          <w:rFonts w:ascii="Arial" w:hAnsi="Arial" w:cs="Arial"/>
          <w:sz w:val="20"/>
          <w:szCs w:val="16"/>
        </w:rPr>
      </w:pPr>
      <w:r w:rsidRPr="00882FE4">
        <w:rPr>
          <w:rFonts w:ascii="Arial" w:hAnsi="Arial" w:cs="Arial"/>
          <w:sz w:val="20"/>
          <w:szCs w:val="16"/>
        </w:rPr>
        <w:t xml:space="preserve">olup bunun, </w:t>
      </w:r>
    </w:p>
    <w:p w:rsidR="009B2C97" w:rsidRPr="00882FE4" w:rsidRDefault="009B2C97" w:rsidP="00BB300F">
      <w:pPr>
        <w:pStyle w:val="NormalWeb"/>
        <w:jc w:val="both"/>
        <w:rPr>
          <w:rFonts w:ascii="Arial" w:hAnsi="Arial" w:cs="Arial"/>
          <w:sz w:val="20"/>
          <w:szCs w:val="16"/>
        </w:rPr>
      </w:pPr>
      <w:r w:rsidRPr="00882FE4">
        <w:rPr>
          <w:rFonts w:ascii="Arial" w:hAnsi="Arial" w:cs="Arial"/>
          <w:sz w:val="20"/>
          <w:szCs w:val="16"/>
        </w:rPr>
        <w:t>...................... paya karşılık olan .......................... Türk Lirası .............................</w:t>
      </w:r>
    </w:p>
    <w:p w:rsidR="009B2C97" w:rsidRPr="00882FE4" w:rsidRDefault="009B2C97" w:rsidP="00BB300F">
      <w:pPr>
        <w:pStyle w:val="NormalWeb"/>
        <w:jc w:val="both"/>
        <w:rPr>
          <w:rFonts w:ascii="Arial" w:hAnsi="Arial" w:cs="Arial"/>
          <w:sz w:val="20"/>
          <w:szCs w:val="16"/>
        </w:rPr>
      </w:pPr>
      <w:r w:rsidRPr="00882FE4">
        <w:rPr>
          <w:rFonts w:ascii="Arial" w:hAnsi="Arial" w:cs="Arial"/>
          <w:sz w:val="20"/>
          <w:szCs w:val="16"/>
        </w:rPr>
        <w:t>...................... paya karşılık olan .......................... Türk Lirası .............................’na aittir.</w:t>
      </w:r>
    </w:p>
    <w:p w:rsidR="009B2C97" w:rsidRPr="00882FE4" w:rsidRDefault="00882FE4" w:rsidP="00BB300F">
      <w:pPr>
        <w:jc w:val="both"/>
        <w:rPr>
          <w:rFonts w:ascii="Arial" w:hAnsi="Arial" w:cs="Arial"/>
          <w:sz w:val="20"/>
        </w:rPr>
      </w:pPr>
      <w:r>
        <w:rPr>
          <w:rFonts w:ascii="Arial" w:hAnsi="Arial" w:cs="Arial"/>
          <w:sz w:val="20"/>
        </w:rPr>
        <w:t>Bu defa artırılan</w:t>
      </w:r>
      <w:r w:rsidR="009B2C97" w:rsidRPr="00882FE4">
        <w:rPr>
          <w:rFonts w:ascii="Arial" w:hAnsi="Arial" w:cs="Arial"/>
          <w:sz w:val="20"/>
        </w:rPr>
        <w:t xml:space="preserve"> sermayenin ……………………. TL.’si …… İli …….İlçesi ……… Mevkii ……… Ada ……… Pafta ……… Parselde ……………. adına kayıtlı gayrimenkulün  ayni olarak sermayeye ilave edilmesi sureti ile karşılanmıştır.Sermayeye konulan gayrimenkulun değeri ……… Asliye Ticaret Mahkemesinin ……… tarih ve ……… sayılı mahkeme kararı ve ………. Tarih ve …… sayılı bilirkişi raporu ile tespit edilmiştir. </w:t>
      </w:r>
    </w:p>
    <w:p w:rsidR="009B2C97" w:rsidRPr="00882FE4" w:rsidRDefault="009B2C97" w:rsidP="00BB300F">
      <w:pPr>
        <w:jc w:val="both"/>
        <w:rPr>
          <w:sz w:val="32"/>
        </w:rPr>
      </w:pPr>
    </w:p>
    <w:p w:rsidR="009B2C97" w:rsidRPr="00882FE4" w:rsidRDefault="009B2C97" w:rsidP="009B2C97">
      <w:pPr>
        <w:rPr>
          <w:sz w:val="32"/>
        </w:rPr>
      </w:pPr>
    </w:p>
    <w:p w:rsidR="009B2C97" w:rsidRPr="00882FE4" w:rsidRDefault="009B2C97" w:rsidP="009B2C97">
      <w:pPr>
        <w:rPr>
          <w:rFonts w:ascii="Arial" w:eastAsia="Calibri" w:hAnsi="Arial"/>
          <w:sz w:val="20"/>
        </w:rPr>
      </w:pPr>
      <w:r w:rsidRPr="00882FE4">
        <w:rPr>
          <w:rFonts w:ascii="Arial" w:eastAsia="Calibri" w:hAnsi="Arial"/>
          <w:sz w:val="20"/>
        </w:rPr>
        <w:t xml:space="preserve">Ortak   </w:t>
      </w:r>
      <w:r w:rsidRPr="00882FE4">
        <w:rPr>
          <w:rFonts w:ascii="Arial" w:eastAsia="Calibri" w:hAnsi="Arial" w:cs="Arial"/>
          <w:sz w:val="20"/>
        </w:rPr>
        <w:t>(T.C.Kimlik No)</w:t>
      </w:r>
      <w:r w:rsidRPr="00882FE4">
        <w:rPr>
          <w:rFonts w:ascii="Arial" w:eastAsia="Calibri" w:hAnsi="Arial"/>
          <w:sz w:val="20"/>
        </w:rPr>
        <w:t xml:space="preserve">                           </w:t>
      </w:r>
      <w:r w:rsidRPr="00882FE4">
        <w:rPr>
          <w:rFonts w:ascii="Arial" w:eastAsia="Calibri" w:hAnsi="Arial"/>
          <w:sz w:val="20"/>
        </w:rPr>
        <w:tab/>
        <w:t xml:space="preserve">Ortak   </w:t>
      </w:r>
      <w:r w:rsidRPr="00882FE4">
        <w:rPr>
          <w:rFonts w:ascii="Arial" w:eastAsia="Calibri" w:hAnsi="Arial" w:cs="Arial"/>
          <w:sz w:val="20"/>
        </w:rPr>
        <w:t>(T.C.Kimlik No)</w:t>
      </w:r>
      <w:r w:rsidRPr="00882FE4">
        <w:rPr>
          <w:rFonts w:ascii="Arial" w:eastAsia="Calibri" w:hAnsi="Arial"/>
          <w:sz w:val="20"/>
        </w:rPr>
        <w:t xml:space="preserve">                                      </w:t>
      </w:r>
      <w:r w:rsidRPr="00882FE4">
        <w:rPr>
          <w:rFonts w:ascii="Arial" w:eastAsia="Calibri" w:hAnsi="Arial"/>
          <w:sz w:val="20"/>
        </w:rPr>
        <w:tab/>
        <w:t xml:space="preserve">Ortak   </w:t>
      </w:r>
      <w:r w:rsidRPr="00882FE4">
        <w:rPr>
          <w:rFonts w:ascii="Arial" w:eastAsia="Calibri" w:hAnsi="Arial" w:cs="Arial"/>
          <w:sz w:val="20"/>
        </w:rPr>
        <w:t>(T.C.Kimlik No)</w:t>
      </w:r>
    </w:p>
    <w:p w:rsidR="009B2C97" w:rsidRPr="00882FE4" w:rsidRDefault="009B2C97" w:rsidP="009B2C97">
      <w:pPr>
        <w:rPr>
          <w:rFonts w:ascii="Arial" w:eastAsia="Calibri" w:hAnsi="Arial" w:cs="Arial"/>
          <w:sz w:val="20"/>
        </w:rPr>
      </w:pPr>
      <w:r w:rsidRPr="00882FE4">
        <w:rPr>
          <w:rFonts w:ascii="Arial" w:eastAsia="Calibri" w:hAnsi="Arial" w:cs="Arial"/>
          <w:sz w:val="20"/>
        </w:rPr>
        <w:t xml:space="preserve">İsim-İmza                            </w:t>
      </w:r>
      <w:r w:rsidRPr="00882FE4">
        <w:rPr>
          <w:rFonts w:ascii="Arial" w:eastAsia="Calibri" w:hAnsi="Arial" w:cs="Arial"/>
          <w:sz w:val="20"/>
        </w:rPr>
        <w:tab/>
      </w:r>
      <w:r w:rsidRPr="00882FE4">
        <w:rPr>
          <w:rFonts w:ascii="Arial" w:eastAsia="Calibri" w:hAnsi="Arial" w:cs="Arial"/>
          <w:sz w:val="20"/>
        </w:rPr>
        <w:tab/>
        <w:t xml:space="preserve">İsim-İmza                                   </w:t>
      </w:r>
      <w:r w:rsidRPr="00882FE4">
        <w:rPr>
          <w:rFonts w:ascii="Arial" w:eastAsia="Calibri" w:hAnsi="Arial" w:cs="Arial"/>
          <w:sz w:val="20"/>
        </w:rPr>
        <w:tab/>
      </w:r>
      <w:r w:rsidRPr="00882FE4">
        <w:rPr>
          <w:rFonts w:ascii="Arial" w:eastAsia="Calibri" w:hAnsi="Arial" w:cs="Arial"/>
          <w:sz w:val="20"/>
        </w:rPr>
        <w:tab/>
        <w:t>İsim-İmza</w:t>
      </w:r>
    </w:p>
    <w:p w:rsidR="00751B01" w:rsidRDefault="00751B01">
      <w:pPr>
        <w:rPr>
          <w:sz w:val="32"/>
        </w:rPr>
      </w:pPr>
    </w:p>
    <w:p w:rsidR="00BA3E0A" w:rsidRPr="00F80790" w:rsidRDefault="00BA3E0A" w:rsidP="00BA3E0A">
      <w:pPr>
        <w:pStyle w:val="NormalWeb"/>
        <w:shd w:val="clear" w:color="auto" w:fill="FFFFFF"/>
        <w:spacing w:before="0" w:beforeAutospacing="0" w:after="0" w:afterAutospacing="0"/>
        <w:jc w:val="both"/>
        <w:rPr>
          <w:rFonts w:ascii="Arial" w:hAnsi="Arial" w:cs="Arial"/>
          <w:color w:val="FF0000"/>
          <w:sz w:val="22"/>
        </w:rPr>
      </w:pPr>
      <w:r w:rsidRPr="00F80790">
        <w:rPr>
          <w:color w:val="FF0000"/>
          <w:sz w:val="28"/>
        </w:rPr>
        <w:t xml:space="preserve">NOT: </w:t>
      </w:r>
      <w:r w:rsidRPr="00F80790">
        <w:rPr>
          <w:rFonts w:ascii="Arial" w:hAnsi="Arial" w:cs="Arial"/>
          <w:color w:val="FF0000"/>
          <w:sz w:val="22"/>
        </w:rPr>
        <w:t> </w:t>
      </w:r>
      <w:r w:rsidRPr="00F80790">
        <w:rPr>
          <w:rFonts w:ascii="Arial" w:hAnsi="Arial" w:cs="Arial"/>
          <w:color w:val="FF0000"/>
          <w:sz w:val="22"/>
          <w:u w:val="single"/>
        </w:rPr>
        <w:t>Sermaye artırımının ayni sermaye konularak yapılması durumunda</w:t>
      </w:r>
      <w:r w:rsidRPr="00F80790">
        <w:rPr>
          <w:rFonts w:ascii="Arial" w:hAnsi="Arial" w:cs="Arial"/>
          <w:color w:val="FF0000"/>
          <w:sz w:val="22"/>
          <w:u w:val="single"/>
        </w:rPr>
        <w:t xml:space="preserve"> iş</w:t>
      </w:r>
      <w:bookmarkStart w:id="0" w:name="_GoBack"/>
      <w:bookmarkEnd w:id="0"/>
      <w:r w:rsidRPr="00F80790">
        <w:rPr>
          <w:rFonts w:ascii="Arial" w:hAnsi="Arial" w:cs="Arial"/>
          <w:color w:val="FF0000"/>
          <w:sz w:val="22"/>
          <w:u w:val="single"/>
        </w:rPr>
        <w:t>bu</w:t>
      </w:r>
      <w:r w:rsidR="00F80790">
        <w:rPr>
          <w:rFonts w:ascii="Arial" w:hAnsi="Arial" w:cs="Arial"/>
          <w:color w:val="FF0000"/>
          <w:sz w:val="22"/>
          <w:u w:val="single"/>
        </w:rPr>
        <w:t xml:space="preserve"> </w:t>
      </w:r>
      <w:r w:rsidRPr="00F80790">
        <w:rPr>
          <w:rFonts w:ascii="Arial" w:hAnsi="Arial" w:cs="Arial"/>
          <w:color w:val="FF0000"/>
          <w:sz w:val="22"/>
          <w:u w:val="single"/>
        </w:rPr>
        <w:t>alacağınız karara ilave olarak aşağıdaki belgeleri de Müdürlüğümüze getiriniz</w:t>
      </w:r>
      <w:r w:rsidRPr="00F80790">
        <w:rPr>
          <w:rFonts w:ascii="Arial" w:hAnsi="Arial" w:cs="Arial"/>
          <w:color w:val="FF0000"/>
          <w:sz w:val="22"/>
          <w:u w:val="single"/>
        </w:rPr>
        <w:t>;</w:t>
      </w:r>
    </w:p>
    <w:p w:rsidR="00BA3E0A" w:rsidRPr="00F80790" w:rsidRDefault="00BA3E0A" w:rsidP="00BA3E0A">
      <w:pPr>
        <w:numPr>
          <w:ilvl w:val="0"/>
          <w:numId w:val="1"/>
        </w:numPr>
        <w:shd w:val="clear" w:color="auto" w:fill="FFFFFF"/>
        <w:ind w:left="0"/>
        <w:jc w:val="both"/>
        <w:rPr>
          <w:rFonts w:ascii="Arial" w:hAnsi="Arial" w:cs="Arial"/>
          <w:color w:val="0D0D0D"/>
          <w:szCs w:val="27"/>
        </w:rPr>
      </w:pPr>
      <w:r w:rsidRPr="00F80790">
        <w:rPr>
          <w:rFonts w:ascii="Arial" w:hAnsi="Arial" w:cs="Arial"/>
          <w:color w:val="0D0D0D"/>
          <w:sz w:val="22"/>
          <w:u w:val="single"/>
        </w:rPr>
        <w:t>Bilirkişi atama kararı.</w:t>
      </w:r>
    </w:p>
    <w:p w:rsidR="00BA3E0A" w:rsidRPr="00F80790" w:rsidRDefault="00BA3E0A" w:rsidP="00BA3E0A">
      <w:pPr>
        <w:numPr>
          <w:ilvl w:val="0"/>
          <w:numId w:val="2"/>
        </w:numPr>
        <w:shd w:val="clear" w:color="auto" w:fill="FFFFFF"/>
        <w:ind w:left="600"/>
        <w:jc w:val="both"/>
        <w:rPr>
          <w:rFonts w:ascii="Arial" w:hAnsi="Arial" w:cs="Arial"/>
          <w:color w:val="0D0D0D"/>
          <w:szCs w:val="27"/>
        </w:rPr>
      </w:pPr>
      <w:r w:rsidRPr="00F80790">
        <w:rPr>
          <w:rFonts w:ascii="Arial" w:hAnsi="Arial" w:cs="Arial"/>
          <w:color w:val="0D0D0D"/>
          <w:sz w:val="22"/>
        </w:rPr>
        <w:t>Mahkemenin bilirkişi atama kararının aslı veya onaylı sureti (Ticaret Sicili Yönetmeliği m. 94/1-d).</w:t>
      </w:r>
    </w:p>
    <w:p w:rsidR="00BA3E0A" w:rsidRPr="00F80790" w:rsidRDefault="00BA3E0A" w:rsidP="00BA3E0A">
      <w:pPr>
        <w:numPr>
          <w:ilvl w:val="0"/>
          <w:numId w:val="3"/>
        </w:numPr>
        <w:shd w:val="clear" w:color="auto" w:fill="FFFFFF"/>
        <w:ind w:left="0"/>
        <w:jc w:val="both"/>
        <w:rPr>
          <w:rFonts w:ascii="Arial" w:hAnsi="Arial" w:cs="Arial"/>
          <w:color w:val="0D0D0D"/>
          <w:szCs w:val="27"/>
        </w:rPr>
      </w:pPr>
      <w:r w:rsidRPr="00F80790">
        <w:rPr>
          <w:rFonts w:ascii="Arial" w:hAnsi="Arial" w:cs="Arial"/>
          <w:color w:val="0D0D0D"/>
          <w:sz w:val="22"/>
          <w:u w:val="single"/>
        </w:rPr>
        <w:t>Bilirkişi raporu.</w:t>
      </w:r>
    </w:p>
    <w:p w:rsidR="00BA3E0A" w:rsidRPr="00F80790" w:rsidRDefault="00BA3E0A" w:rsidP="00BA3E0A">
      <w:pPr>
        <w:numPr>
          <w:ilvl w:val="0"/>
          <w:numId w:val="4"/>
        </w:numPr>
        <w:shd w:val="clear" w:color="auto" w:fill="FFFFFF"/>
        <w:ind w:left="600"/>
        <w:jc w:val="both"/>
        <w:rPr>
          <w:rFonts w:ascii="Arial" w:hAnsi="Arial" w:cs="Arial"/>
          <w:color w:val="0D0D0D"/>
          <w:szCs w:val="27"/>
        </w:rPr>
      </w:pPr>
      <w:r w:rsidRPr="00F80790">
        <w:rPr>
          <w:rFonts w:ascii="Arial" w:hAnsi="Arial" w:cs="Arial"/>
          <w:color w:val="0D0D0D"/>
          <w:sz w:val="22"/>
        </w:rPr>
        <w:t>Konulan ayni sermaye ile kuruluş sırasında devralınacak işletmeler ve ayni varlıkların değerinin tespitine ilişkin mahkemece atanan bilirkişiler tarafından hazırlanmış değerlemeye ilişkin bilirkişi raporunun aslı veya onaylı sureti (Ticaret Sicili Yönetmeliği m. 94/1-d).</w:t>
      </w:r>
    </w:p>
    <w:p w:rsidR="00BA3E0A" w:rsidRPr="00F80790" w:rsidRDefault="00BA3E0A" w:rsidP="00BA3E0A">
      <w:pPr>
        <w:numPr>
          <w:ilvl w:val="0"/>
          <w:numId w:val="5"/>
        </w:numPr>
        <w:shd w:val="clear" w:color="auto" w:fill="FFFFFF"/>
        <w:ind w:left="0"/>
        <w:jc w:val="both"/>
        <w:rPr>
          <w:rFonts w:ascii="Arial" w:hAnsi="Arial" w:cs="Arial"/>
          <w:color w:val="0D0D0D"/>
          <w:szCs w:val="27"/>
        </w:rPr>
      </w:pPr>
      <w:r w:rsidRPr="00F80790">
        <w:rPr>
          <w:rFonts w:ascii="Arial" w:hAnsi="Arial" w:cs="Arial"/>
          <w:color w:val="0D0D0D"/>
          <w:sz w:val="22"/>
          <w:u w:val="single"/>
        </w:rPr>
        <w:t>Mahkeme kararı.</w:t>
      </w:r>
    </w:p>
    <w:p w:rsidR="00BA3E0A" w:rsidRPr="00F80790" w:rsidRDefault="00BA3E0A" w:rsidP="00BA3E0A">
      <w:pPr>
        <w:numPr>
          <w:ilvl w:val="0"/>
          <w:numId w:val="6"/>
        </w:numPr>
        <w:shd w:val="clear" w:color="auto" w:fill="FFFFFF"/>
        <w:ind w:left="600"/>
        <w:jc w:val="both"/>
        <w:rPr>
          <w:rFonts w:ascii="Arial" w:hAnsi="Arial" w:cs="Arial"/>
          <w:color w:val="0D0D0D"/>
          <w:szCs w:val="27"/>
        </w:rPr>
      </w:pPr>
      <w:r w:rsidRPr="00F80790">
        <w:rPr>
          <w:rFonts w:ascii="Arial" w:hAnsi="Arial" w:cs="Arial"/>
          <w:color w:val="0D0D0D"/>
          <w:sz w:val="22"/>
        </w:rPr>
        <w:t>​Bilirkişi raporunun onaylanmasına ilişkin mahkeme kararının aslı veya onaylı sureti (TTK m. 581, 343).</w:t>
      </w:r>
    </w:p>
    <w:p w:rsidR="00BA3E0A" w:rsidRPr="00F80790" w:rsidRDefault="00BA3E0A" w:rsidP="00BA3E0A">
      <w:pPr>
        <w:numPr>
          <w:ilvl w:val="0"/>
          <w:numId w:val="7"/>
        </w:numPr>
        <w:shd w:val="clear" w:color="auto" w:fill="FFFFFF"/>
        <w:ind w:left="0"/>
        <w:jc w:val="both"/>
        <w:rPr>
          <w:rFonts w:ascii="Arial" w:hAnsi="Arial" w:cs="Arial"/>
          <w:color w:val="0D0D0D"/>
          <w:szCs w:val="27"/>
        </w:rPr>
      </w:pPr>
      <w:r w:rsidRPr="00F80790">
        <w:rPr>
          <w:rFonts w:ascii="Arial" w:hAnsi="Arial" w:cs="Arial"/>
          <w:color w:val="0D0D0D"/>
          <w:sz w:val="22"/>
        </w:rPr>
        <w:t>Konulan ayni sermaye üzerinde herhangi bir sınırlamanın olmadığına dair ilgili sicilden alınacak yazının aslı (Ticaret Sicili Yönetmeliği m. 94/1-e).</w:t>
      </w:r>
    </w:p>
    <w:p w:rsidR="00BA3E0A" w:rsidRPr="00F80790" w:rsidRDefault="00BA3E0A" w:rsidP="00BA3E0A">
      <w:pPr>
        <w:numPr>
          <w:ilvl w:val="0"/>
          <w:numId w:val="8"/>
        </w:numPr>
        <w:shd w:val="clear" w:color="auto" w:fill="FFFFFF"/>
        <w:ind w:left="0"/>
        <w:jc w:val="both"/>
        <w:rPr>
          <w:rFonts w:ascii="Arial" w:hAnsi="Arial" w:cs="Arial"/>
          <w:color w:val="0D0D0D"/>
          <w:szCs w:val="27"/>
        </w:rPr>
      </w:pPr>
      <w:r w:rsidRPr="00F80790">
        <w:rPr>
          <w:rFonts w:ascii="Arial" w:hAnsi="Arial" w:cs="Arial"/>
          <w:color w:val="0D0D0D"/>
          <w:sz w:val="22"/>
        </w:rPr>
        <w:t>Ayni sermaye olarak konulan taşınmazın, fikri mülkiyet haklarının ve diğer değerlerin kayıtlı bulundukları sicillere şerhverildiğini gösteren belge (Ticaret Sicili Yönetmeliği m. 94/1-f).</w:t>
      </w:r>
      <w:r w:rsidRPr="00F80790">
        <w:rPr>
          <w:rFonts w:ascii="Arial" w:hAnsi="Arial" w:cs="Arial"/>
          <w:color w:val="0D0D0D"/>
          <w:sz w:val="22"/>
        </w:rPr>
        <w:t xml:space="preserve"> </w:t>
      </w:r>
    </w:p>
    <w:sectPr w:rsidR="00BA3E0A" w:rsidRPr="00F807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7B" w:rsidRDefault="0095037B" w:rsidP="00BA3E0A">
      <w:r>
        <w:separator/>
      </w:r>
    </w:p>
  </w:endnote>
  <w:endnote w:type="continuationSeparator" w:id="0">
    <w:p w:rsidR="0095037B" w:rsidRDefault="0095037B" w:rsidP="00BA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7B" w:rsidRDefault="0095037B" w:rsidP="00BA3E0A">
      <w:r>
        <w:separator/>
      </w:r>
    </w:p>
  </w:footnote>
  <w:footnote w:type="continuationSeparator" w:id="0">
    <w:p w:rsidR="0095037B" w:rsidRDefault="0095037B" w:rsidP="00BA3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57031"/>
    <w:multiLevelType w:val="multilevel"/>
    <w:tmpl w:val="89B2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F5418"/>
    <w:multiLevelType w:val="multilevel"/>
    <w:tmpl w:val="DF1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62329"/>
    <w:multiLevelType w:val="multilevel"/>
    <w:tmpl w:val="227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976C1"/>
    <w:multiLevelType w:val="multilevel"/>
    <w:tmpl w:val="548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7151A"/>
    <w:multiLevelType w:val="multilevel"/>
    <w:tmpl w:val="97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F4DD0"/>
    <w:multiLevelType w:val="multilevel"/>
    <w:tmpl w:val="CB4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C029AB"/>
    <w:multiLevelType w:val="multilevel"/>
    <w:tmpl w:val="99C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A4505"/>
    <w:multiLevelType w:val="multilevel"/>
    <w:tmpl w:val="149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F2"/>
    <w:rsid w:val="00751B01"/>
    <w:rsid w:val="00882FE4"/>
    <w:rsid w:val="0095037B"/>
    <w:rsid w:val="009B2C97"/>
    <w:rsid w:val="009F36F2"/>
    <w:rsid w:val="00BA3E0A"/>
    <w:rsid w:val="00BB300F"/>
    <w:rsid w:val="00F80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EE679-0FE5-42D9-AEE6-C9F86289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97"/>
    <w:pPr>
      <w:spacing w:after="0" w:line="240" w:lineRule="auto"/>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9B2C97"/>
    <w:pPr>
      <w:keepNext/>
      <w:outlineLvl w:val="7"/>
    </w:pPr>
    <w:rPr>
      <w:rFonts w:ascii="Arial" w:hAnsi="Arial" w:cs="Arial"/>
      <w:b/>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rsid w:val="009B2C97"/>
    <w:rPr>
      <w:rFonts w:ascii="Arial" w:eastAsia="Times New Roman" w:hAnsi="Arial" w:cs="Arial"/>
      <w:b/>
      <w:sz w:val="16"/>
      <w:szCs w:val="20"/>
      <w:lang w:eastAsia="tr-TR"/>
    </w:rPr>
  </w:style>
  <w:style w:type="paragraph" w:styleId="NormalWeb">
    <w:name w:val="Normal (Web)"/>
    <w:basedOn w:val="Normal"/>
    <w:uiPriority w:val="99"/>
    <w:unhideWhenUsed/>
    <w:rsid w:val="009B2C97"/>
    <w:pPr>
      <w:spacing w:before="100" w:beforeAutospacing="1" w:after="100" w:afterAutospacing="1"/>
    </w:pPr>
  </w:style>
  <w:style w:type="paragraph" w:styleId="stbilgi">
    <w:name w:val="header"/>
    <w:basedOn w:val="Normal"/>
    <w:link w:val="stbilgiChar"/>
    <w:uiPriority w:val="99"/>
    <w:unhideWhenUsed/>
    <w:rsid w:val="00BA3E0A"/>
    <w:pPr>
      <w:tabs>
        <w:tab w:val="center" w:pos="4536"/>
        <w:tab w:val="right" w:pos="9072"/>
      </w:tabs>
    </w:pPr>
  </w:style>
  <w:style w:type="character" w:customStyle="1" w:styleId="stbilgiChar">
    <w:name w:val="Üstbilgi Char"/>
    <w:basedOn w:val="VarsaylanParagrafYazTipi"/>
    <w:link w:val="stbilgi"/>
    <w:uiPriority w:val="99"/>
    <w:rsid w:val="00BA3E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A3E0A"/>
    <w:pPr>
      <w:tabs>
        <w:tab w:val="center" w:pos="4536"/>
        <w:tab w:val="right" w:pos="9072"/>
      </w:tabs>
    </w:pPr>
  </w:style>
  <w:style w:type="character" w:customStyle="1" w:styleId="AltbilgiChar">
    <w:name w:val="Altbilgi Char"/>
    <w:basedOn w:val="VarsaylanParagrafYazTipi"/>
    <w:link w:val="Altbilgi"/>
    <w:uiPriority w:val="99"/>
    <w:rsid w:val="00BA3E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5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 TSO</dc:creator>
  <cp:keywords/>
  <dc:description/>
  <cp:lastModifiedBy>Samsun TSO</cp:lastModifiedBy>
  <cp:revision>6</cp:revision>
  <dcterms:created xsi:type="dcterms:W3CDTF">2025-08-18T08:07:00Z</dcterms:created>
  <dcterms:modified xsi:type="dcterms:W3CDTF">2025-08-18T08:25:00Z</dcterms:modified>
</cp:coreProperties>
</file>